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ind w:rightChars="-159" w:right="-334"/>
        <w:jc w:val="center"/>
        <w:rPr>
          <w:rFonts w:ascii="黑体" w:eastAsia="黑体"/>
          <w:sz w:val="36"/>
        </w:rPr>
      </w:pPr>
      <w:r>
        <w:rPr>
          <w:rFonts w:ascii="黑体" w:eastAsia="黑体" w:hint="eastAsia"/>
          <w:sz w:val="36"/>
        </w:rPr>
        <w:t>2020年(11月毕业）优秀毕业生申请表</w:t>
      </w:r>
    </w:p>
    <w:tbl>
      <w:tblPr>
        <w:tblW w:w="10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7"/>
        <w:gridCol w:w="4110"/>
        <w:gridCol w:w="1560"/>
        <w:gridCol w:w="4053"/>
      </w:tblGrid>
      <w:tr>
        <w:trPr>
          <w:trHeight w:val="643"/>
          <w:jc w:val="center"/>
        </w:trPr>
        <w:tc>
          <w:tcPr>
            <w:tcW w:w="937" w:type="dxa"/>
            <w:vAlign w:val="center"/>
          </w:tcPr>
          <w:p>
            <w:pPr>
              <w:jc w:val="center"/>
              <w:rPr>
                <w:rFonts w:ascii="仿宋_GB2312" w:eastAsia="仿宋_GB2312"/>
                <w:b/>
                <w:szCs w:val="21"/>
              </w:rPr>
            </w:pPr>
            <w:r>
              <w:rPr>
                <w:rFonts w:ascii="仿宋_GB2312" w:eastAsia="仿宋_GB2312" w:hint="eastAsia"/>
                <w:b/>
                <w:szCs w:val="21"/>
              </w:rPr>
              <w:t>姓  名</w:t>
            </w:r>
          </w:p>
        </w:tc>
        <w:tc>
          <w:tcPr>
            <w:tcW w:w="4110" w:type="dxa"/>
            <w:vAlign w:val="center"/>
          </w:tcPr>
          <w:p>
            <w:pPr>
              <w:jc w:val="center"/>
              <w:rPr>
                <w:rFonts w:ascii="仿宋_GB2312" w:eastAsia="仿宋_GB2312"/>
                <w:b/>
                <w:szCs w:val="21"/>
              </w:rPr>
            </w:pPr>
            <w:r>
              <w:rPr>
                <w:rFonts w:ascii="仿宋_GB2312" w:eastAsia="仿宋_GB2312" w:hint="eastAsia"/>
                <w:b/>
                <w:szCs w:val="21"/>
              </w:rPr>
              <w:t>卜旭松</w:t>
            </w:r>
          </w:p>
        </w:tc>
        <w:tc>
          <w:tcPr>
            <w:tcW w:w="1560" w:type="dxa"/>
            <w:vAlign w:val="center"/>
          </w:tcPr>
          <w:p>
            <w:pPr>
              <w:jc w:val="center"/>
              <w:rPr>
                <w:rFonts w:ascii="仿宋_GB2312" w:eastAsia="仿宋_GB2312"/>
                <w:b/>
                <w:szCs w:val="21"/>
              </w:rPr>
            </w:pPr>
            <w:r>
              <w:rPr>
                <w:rFonts w:ascii="仿宋_GB2312" w:eastAsia="仿宋_GB2312" w:hint="eastAsia"/>
                <w:b/>
                <w:szCs w:val="21"/>
              </w:rPr>
              <w:t>学  号</w:t>
            </w:r>
          </w:p>
        </w:tc>
        <w:tc>
          <w:tcPr>
            <w:tcW w:w="4053" w:type="dxa"/>
            <w:vAlign w:val="center"/>
          </w:tcPr>
          <w:p>
            <w:pPr>
              <w:jc w:val="center"/>
              <w:rPr>
                <w:rFonts w:ascii="仿宋_GB2312" w:eastAsia="仿宋_GB2312"/>
                <w:b/>
                <w:szCs w:val="21"/>
              </w:rPr>
            </w:pPr>
            <w:r>
              <w:rPr>
                <w:rFonts w:ascii="仿宋_GB2312" w:eastAsia="仿宋_GB2312" w:hint="eastAsia"/>
                <w:b/>
                <w:szCs w:val="21"/>
              </w:rPr>
              <w:t>BY</w:t>
            </w:r>
            <w:r>
              <w:rPr>
                <w:rFonts w:ascii="仿宋_GB2312" w:eastAsia="仿宋_GB2312"/>
                <w:b/>
                <w:szCs w:val="21"/>
              </w:rPr>
              <w:t>1506141</w:t>
            </w:r>
          </w:p>
        </w:tc>
      </w:tr>
      <w:tr>
        <w:trPr>
          <w:cantSplit/>
          <w:trHeight w:val="846"/>
          <w:jc w:val="center"/>
        </w:trPr>
        <w:tc>
          <w:tcPr>
            <w:tcW w:w="937" w:type="dxa"/>
            <w:vAlign w:val="center"/>
          </w:tcPr>
          <w:p>
            <w:pPr>
              <w:jc w:val="center"/>
              <w:rPr>
                <w:rFonts w:ascii="仿宋_GB2312" w:eastAsia="仿宋_GB2312"/>
                <w:b/>
                <w:szCs w:val="21"/>
              </w:rPr>
            </w:pPr>
            <w:r>
              <w:rPr>
                <w:rFonts w:ascii="仿宋_GB2312" w:eastAsia="仿宋_GB2312" w:hint="eastAsia"/>
                <w:b/>
                <w:szCs w:val="21"/>
              </w:rPr>
              <w:t>职  务</w:t>
            </w:r>
          </w:p>
        </w:tc>
        <w:tc>
          <w:tcPr>
            <w:tcW w:w="4110" w:type="dxa"/>
            <w:vAlign w:val="center"/>
          </w:tcPr>
          <w:p>
            <w:pPr>
              <w:jc w:val="center"/>
              <w:rPr>
                <w:rFonts w:ascii="仿宋_GB2312" w:eastAsia="仿宋_GB2312"/>
                <w:b/>
                <w:szCs w:val="21"/>
              </w:rPr>
            </w:pPr>
          </w:p>
        </w:tc>
        <w:tc>
          <w:tcPr>
            <w:tcW w:w="1560" w:type="dxa"/>
            <w:vAlign w:val="center"/>
          </w:tcPr>
          <w:p>
            <w:pPr>
              <w:jc w:val="center"/>
              <w:rPr>
                <w:rFonts w:ascii="仿宋_GB2312" w:eastAsia="仿宋_GB2312"/>
                <w:b/>
                <w:szCs w:val="21"/>
              </w:rPr>
            </w:pPr>
            <w:r>
              <w:rPr>
                <w:rFonts w:ascii="仿宋_GB2312" w:eastAsia="仿宋_GB2312" w:hint="eastAsia"/>
                <w:b/>
                <w:szCs w:val="21"/>
              </w:rPr>
              <w:t>政治面貌</w:t>
            </w:r>
          </w:p>
        </w:tc>
        <w:tc>
          <w:tcPr>
            <w:tcW w:w="4053" w:type="dxa"/>
            <w:vAlign w:val="center"/>
          </w:tcPr>
          <w:p>
            <w:pPr>
              <w:jc w:val="center"/>
              <w:rPr>
                <w:rFonts w:ascii="仿宋_GB2312" w:eastAsia="仿宋_GB2312"/>
                <w:b/>
                <w:szCs w:val="21"/>
              </w:rPr>
            </w:pPr>
            <w:r>
              <w:rPr>
                <w:rFonts w:ascii="仿宋_GB2312" w:eastAsia="仿宋_GB2312" w:hint="eastAsia"/>
                <w:b/>
                <w:szCs w:val="21"/>
              </w:rPr>
              <w:t>中共党员</w:t>
            </w:r>
          </w:p>
        </w:tc>
      </w:tr>
      <w:tr>
        <w:trPr>
          <w:cantSplit/>
          <w:trHeight w:val="11498"/>
          <w:jc w:val="center"/>
        </w:trPr>
        <w:tc>
          <w:tcPr>
            <w:tcW w:w="937" w:type="dxa"/>
          </w:tcPr>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r>
              <w:rPr>
                <w:rFonts w:ascii="仿宋_GB2312" w:eastAsia="仿宋_GB2312" w:hint="eastAsia"/>
                <w:sz w:val="28"/>
                <w:szCs w:val="28"/>
              </w:rPr>
              <w:t>申请理由</w:t>
            </w:r>
          </w:p>
          <w:p>
            <w:pPr>
              <w:rPr>
                <w:rFonts w:ascii="仿宋_GB2312" w:eastAsia="仿宋_GB2312"/>
                <w:sz w:val="28"/>
                <w:szCs w:val="28"/>
              </w:rPr>
            </w:pPr>
            <w:r>
              <w:rPr>
                <w:rFonts w:ascii="仿宋_GB2312" w:eastAsia="仿宋_GB2312" w:hint="eastAsia"/>
                <w:sz w:val="28"/>
                <w:szCs w:val="28"/>
              </w:rPr>
              <w:t>(注明研究生在校期间曾获奖励)</w:t>
            </w:r>
          </w:p>
        </w:tc>
        <w:tc>
          <w:tcPr>
            <w:tcW w:w="9723" w:type="dxa"/>
            <w:gridSpan w:val="3"/>
          </w:tcPr>
          <w:p>
            <w:pPr>
              <w:rPr>
                <w:rFonts w:ascii="仿宋_GB2312" w:eastAsia="仿宋_GB2312"/>
                <w:sz w:val="28"/>
                <w:szCs w:val="28"/>
              </w:rPr>
            </w:pPr>
            <w:r>
              <w:rPr>
                <w:rFonts w:ascii="仿宋_GB2312" w:eastAsia="仿宋_GB2312" w:hint="eastAsia"/>
                <w:sz w:val="28"/>
                <w:szCs w:val="28"/>
              </w:rPr>
              <w:t>（请分别从研究生在校期间学习成绩、科研情况、实习实践、获奖情况、就业去向等几个方面进行详细阐述。）</w:t>
            </w:r>
          </w:p>
          <w:p>
            <w:pPr>
              <w:spacing w:line="360" w:lineRule="auto"/>
              <w:ind w:firstLineChars="200" w:firstLine="480"/>
              <w:rPr>
                <w:rFonts w:ascii="宋体" w:hAnsi="宋体"/>
                <w:sz w:val="24"/>
                <w:szCs w:val="24"/>
              </w:rPr>
            </w:pPr>
            <w:r>
              <w:rPr>
                <w:rFonts w:ascii="宋体" w:hAnsi="宋体" w:hint="eastAsia"/>
                <w:sz w:val="24"/>
                <w:szCs w:val="24"/>
              </w:rPr>
              <w:t>研究生学习期间很好地完成</w:t>
            </w:r>
            <w:bookmarkStart w:id="0" w:name="_GoBack"/>
            <w:bookmarkEnd w:id="0"/>
            <w:r>
              <w:rPr>
                <w:rFonts w:ascii="宋体" w:hAnsi="宋体" w:hint="eastAsia"/>
                <w:sz w:val="24"/>
                <w:szCs w:val="24"/>
              </w:rPr>
              <w:t>了博士研究生的学位课程及培养方案中要求的相关培养环节并取得良好成绩。</w:t>
            </w:r>
          </w:p>
          <w:p>
            <w:pPr>
              <w:spacing w:line="360" w:lineRule="auto"/>
              <w:ind w:firstLineChars="200" w:firstLine="480"/>
              <w:rPr>
                <w:rFonts w:ascii="宋体" w:hAnsi="宋体"/>
                <w:sz w:val="24"/>
                <w:szCs w:val="24"/>
              </w:rPr>
            </w:pPr>
            <w:r>
              <w:rPr>
                <w:rFonts w:ascii="宋体" w:hAnsi="宋体" w:hint="eastAsia"/>
                <w:sz w:val="24"/>
                <w:szCs w:val="24"/>
              </w:rPr>
              <w:t>积极参与导师的科研项目，先后参与的项目包括：</w:t>
            </w:r>
            <w:r>
              <w:rPr>
                <w:rFonts w:ascii="宋体" w:hAnsi="宋体"/>
                <w:sz w:val="24"/>
                <w:szCs w:val="24"/>
              </w:rPr>
              <w:t>1</w:t>
            </w:r>
            <w:r>
              <w:rPr>
                <w:rFonts w:ascii="宋体" w:hAnsi="宋体" w:hint="eastAsia"/>
                <w:sz w:val="24"/>
                <w:szCs w:val="24"/>
              </w:rPr>
              <w:t>）安全运维智能专家系统技术研究与平台开发，企、事业单位委托项目。</w:t>
            </w:r>
            <w:r>
              <w:rPr>
                <w:rFonts w:ascii="宋体" w:hAnsi="宋体"/>
                <w:sz w:val="24"/>
                <w:szCs w:val="24"/>
              </w:rPr>
              <w:t>2</w:t>
            </w:r>
            <w:r>
              <w:rPr>
                <w:rFonts w:ascii="宋体" w:hAnsi="宋体" w:hint="eastAsia"/>
                <w:sz w:val="24"/>
                <w:szCs w:val="24"/>
              </w:rPr>
              <w:t>）基于模型的探测器故障诊断系统，企、事业单位委托项目。</w:t>
            </w:r>
            <w:r>
              <w:rPr>
                <w:rFonts w:ascii="宋体" w:hAnsi="宋体"/>
                <w:sz w:val="24"/>
                <w:szCs w:val="24"/>
              </w:rPr>
              <w:t>3</w:t>
            </w:r>
            <w:r>
              <w:rPr>
                <w:rFonts w:ascii="宋体" w:hAnsi="宋体" w:hint="eastAsia"/>
                <w:sz w:val="24"/>
                <w:szCs w:val="24"/>
              </w:rPr>
              <w:t>）DUCG动态立体因果图的构建和推理方法及其实验验证研究，国家自然科学基金。</w:t>
            </w:r>
            <w:r>
              <w:rPr>
                <w:rFonts w:ascii="宋体" w:hAnsi="宋体"/>
                <w:sz w:val="24"/>
                <w:szCs w:val="24"/>
              </w:rPr>
              <w:t>4</w:t>
            </w:r>
            <w:r>
              <w:rPr>
                <w:rFonts w:ascii="宋体" w:hAnsi="宋体" w:hint="eastAsia"/>
                <w:sz w:val="24"/>
                <w:szCs w:val="24"/>
              </w:rPr>
              <w:t>）用于核电站故障诊断和安全运维的动态不确定因果图理论及应用研究，国家自然科学基金。</w:t>
            </w:r>
          </w:p>
          <w:p>
            <w:pPr>
              <w:spacing w:line="360" w:lineRule="auto"/>
              <w:ind w:firstLineChars="200" w:firstLine="480"/>
              <w:rPr>
                <w:rFonts w:ascii="宋体" w:hAnsi="宋体"/>
                <w:sz w:val="24"/>
                <w:szCs w:val="24"/>
              </w:rPr>
            </w:pPr>
            <w:r>
              <w:rPr>
                <w:rFonts w:ascii="宋体" w:hAnsi="宋体" w:hint="eastAsia"/>
                <w:sz w:val="24"/>
                <w:szCs w:val="24"/>
              </w:rPr>
              <w:t>研究生期间的研究成果包括：</w:t>
            </w:r>
          </w:p>
          <w:p>
            <w:pPr>
              <w:pStyle w:val="a7"/>
              <w:numPr>
                <w:ilvl w:val="0"/>
                <w:numId w:val="1"/>
              </w:numPr>
              <w:ind w:firstLineChars="0"/>
              <w:rPr>
                <w:sz w:val="24"/>
                <w:szCs w:val="24"/>
              </w:rPr>
            </w:pPr>
            <w:r>
              <w:rPr>
                <w:sz w:val="24"/>
                <w:szCs w:val="24"/>
              </w:rPr>
              <w:t xml:space="preserve">Zhang Qin, </w:t>
            </w:r>
            <w:r>
              <w:rPr>
                <w:b/>
                <w:sz w:val="24"/>
                <w:szCs w:val="24"/>
              </w:rPr>
              <w:t>Bu Xusong</w:t>
            </w:r>
            <w:r>
              <w:rPr>
                <w:sz w:val="24"/>
                <w:szCs w:val="24"/>
              </w:rPr>
              <w:t>, Zhang MingXia, et al. Dynamic uncertain causality graph for computer-aided general clinical diagnoses with nasal obstruction as an illustration[J]. Artificial Intelligence Review, 2020(3). SCIE IF 5.747</w:t>
            </w:r>
          </w:p>
          <w:p>
            <w:pPr>
              <w:pStyle w:val="a7"/>
              <w:numPr>
                <w:ilvl w:val="0"/>
                <w:numId w:val="1"/>
              </w:numPr>
              <w:ind w:firstLineChars="0"/>
              <w:rPr>
                <w:sz w:val="24"/>
                <w:szCs w:val="24"/>
              </w:rPr>
            </w:pPr>
            <w:r>
              <w:rPr>
                <w:b/>
                <w:sz w:val="24"/>
                <w:szCs w:val="24"/>
              </w:rPr>
              <w:t>Bu Xusong</w:t>
            </w:r>
            <w:r>
              <w:rPr>
                <w:sz w:val="24"/>
                <w:szCs w:val="24"/>
              </w:rPr>
              <w:t>, Lu Lin, Zhang Zhan, Zhang Qin, et al. A General Outpatient Triage System Based on Dynamic Uncertain Causality Graph[J]. IEEE ACCESS, 2020, 8: 93249-93263</w:t>
            </w:r>
            <w:r>
              <w:rPr>
                <w:rFonts w:hint="eastAsia"/>
                <w:sz w:val="24"/>
                <w:szCs w:val="24"/>
              </w:rPr>
              <w:t>.</w:t>
            </w:r>
            <w:r>
              <w:rPr>
                <w:sz w:val="24"/>
                <w:szCs w:val="24"/>
              </w:rPr>
              <w:t xml:space="preserve"> SCIE IF 3.745</w:t>
            </w:r>
          </w:p>
          <w:p>
            <w:pPr>
              <w:pStyle w:val="a7"/>
              <w:numPr>
                <w:ilvl w:val="0"/>
                <w:numId w:val="1"/>
              </w:numPr>
              <w:ind w:firstLineChars="0"/>
              <w:rPr>
                <w:rFonts w:ascii="仿宋_GB2312" w:eastAsia="仿宋_GB2312"/>
                <w:sz w:val="28"/>
                <w:szCs w:val="28"/>
              </w:rPr>
            </w:pPr>
            <w:r>
              <w:rPr>
                <w:b/>
                <w:sz w:val="24"/>
                <w:szCs w:val="24"/>
              </w:rPr>
              <w:t>Bu Xusong</w:t>
            </w:r>
            <w:r>
              <w:rPr>
                <w:sz w:val="24"/>
                <w:szCs w:val="24"/>
              </w:rPr>
              <w:t>, Zhang Zhan, Zhang Qin. Clinical Assistant Diagnosis System Based on Dynamic Uncertain Causality Graph[A] International Conference on Mechatronics and Intelligent Robotics[C]. Springer, Cham, 2018, 1030-1038 EI</w:t>
            </w:r>
          </w:p>
          <w:p>
            <w:pPr>
              <w:spacing w:line="360" w:lineRule="auto"/>
              <w:ind w:firstLineChars="200" w:firstLine="480"/>
              <w:rPr>
                <w:color w:val="000000" w:themeColor="text1"/>
                <w:sz w:val="24"/>
                <w:szCs w:val="24"/>
              </w:rPr>
            </w:pPr>
            <w:r>
              <w:rPr>
                <w:rFonts w:ascii="宋体" w:hAnsi="宋体" w:hint="eastAsia"/>
                <w:sz w:val="24"/>
                <w:szCs w:val="24"/>
              </w:rPr>
              <w:t>理论研究基础之上，将理论应用于实际，解决社会焦点问题。以研究生期间相关研究理论为基础的DUCG全科临床辅助诊断系统应用于青岛胶州和重庆忠县，覆盖这两个地区所有基层医院，用于辅助基层医生进行全科临床诊断，提高基层诊断正确率。</w:t>
            </w:r>
            <w:r>
              <w:rPr>
                <w:rFonts w:hint="eastAsia"/>
                <w:color w:val="000000" w:themeColor="text1"/>
                <w:sz w:val="24"/>
                <w:szCs w:val="24"/>
              </w:rPr>
              <w:t>从而为实现“健康中国”和“分级诊疗”中的“基层首诊”提供技术支撑。</w:t>
            </w:r>
          </w:p>
          <w:p>
            <w:pPr>
              <w:spacing w:line="360" w:lineRule="auto"/>
              <w:ind w:firstLineChars="200" w:firstLine="480"/>
              <w:rPr>
                <w:rFonts w:ascii="仿宋_GB2312" w:eastAsia="仿宋_GB2312"/>
                <w:sz w:val="28"/>
                <w:szCs w:val="28"/>
              </w:rPr>
            </w:pPr>
            <w:r>
              <w:rPr>
                <w:rFonts w:hint="eastAsia"/>
                <w:color w:val="000000" w:themeColor="text1"/>
                <w:sz w:val="24"/>
                <w:szCs w:val="24"/>
              </w:rPr>
              <w:t>毕业后签约清华大学计算机科学与技术系博后工作站，师从张勤教授继续从事动态不确定因果图在全科临床辅助中的研究与应用。</w:t>
            </w:r>
          </w:p>
        </w:tc>
      </w:tr>
      <w:tr>
        <w:trPr>
          <w:cantSplit/>
          <w:trHeight w:val="1326"/>
          <w:jc w:val="center"/>
        </w:trPr>
        <w:tc>
          <w:tcPr>
            <w:tcW w:w="10660" w:type="dxa"/>
            <w:gridSpan w:val="4"/>
          </w:tcPr>
          <w:p>
            <w:pPr>
              <w:jc w:val="center"/>
              <w:rPr>
                <w:rFonts w:ascii="仿宋_GB2312" w:eastAsia="仿宋_GB2312"/>
                <w:sz w:val="28"/>
                <w:szCs w:val="28"/>
              </w:rPr>
            </w:pPr>
            <w:r>
              <w:rPr>
                <w:rFonts w:ascii="仿宋_GB2312" w:eastAsia="仿宋_GB2312" w:hint="eastAsia"/>
                <w:sz w:val="28"/>
                <w:szCs w:val="28"/>
              </w:rPr>
              <w:t>本人承诺以上项目填写均属实。</w:t>
            </w:r>
          </w:p>
          <w:p>
            <w:pPr>
              <w:ind w:firstLineChars="2200" w:firstLine="6160"/>
              <w:rPr>
                <w:rFonts w:ascii="仿宋_GB2312" w:eastAsia="仿宋_GB2312"/>
                <w:sz w:val="28"/>
                <w:szCs w:val="28"/>
              </w:rPr>
            </w:pPr>
            <w:r>
              <w:rPr>
                <w:rFonts w:ascii="仿宋_GB2312" w:eastAsia="仿宋_GB2312" w:hint="eastAsia"/>
                <w:sz w:val="28"/>
                <w:szCs w:val="28"/>
              </w:rPr>
              <w:t>签名：卜旭松</w:t>
            </w:r>
          </w:p>
        </w:tc>
      </w:tr>
    </w:tbl>
    <w:p>
      <w:pPr>
        <w:spacing w:line="480" w:lineRule="exact"/>
        <w:rPr>
          <w:b/>
          <w:szCs w:val="21"/>
        </w:rPr>
      </w:pPr>
    </w:p>
    <w:sectPr>
      <w:pgSz w:w="11906" w:h="16838"/>
      <w:pgMar w:top="567" w:right="1134" w:bottom="284" w:left="113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BF52A6"/>
    <w:multiLevelType w:val="hybridMultilevel"/>
    <w:tmpl w:val="EA2E8BE0"/>
    <w:lvl w:ilvl="0" w:tplc="98EE8C50">
      <w:start w:val="1"/>
      <w:numFmt w:val="decimal"/>
      <w:lvlText w:val="%1."/>
      <w:lvlJc w:val="left"/>
      <w:pPr>
        <w:ind w:left="360" w:hanging="360"/>
      </w:pPr>
      <w:rPr>
        <w:rFonts w:ascii="Times New Roman" w:hAnsi="Times New Roman" w:cs="Times New Roman" w:hint="default"/>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948DC3A-1680-45B9-A7C2-347C162B7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Pr>
      <w:rFonts w:ascii="Times New Roman" w:eastAsia="宋体" w:hAnsi="Times New Roman" w:cs="Times New Roman"/>
      <w:sz w:val="18"/>
      <w:szCs w:val="18"/>
    </w:rPr>
  </w:style>
  <w:style w:type="character" w:customStyle="1" w:styleId="a4">
    <w:name w:val="页脚 字符"/>
    <w:basedOn w:val="a0"/>
    <w:link w:val="a3"/>
    <w:uiPriority w:val="99"/>
    <w:qFormat/>
    <w:rPr>
      <w:rFonts w:ascii="Times New Roman" w:eastAsia="宋体" w:hAnsi="Times New Roman" w:cs="Times New Roman"/>
      <w:sz w:val="18"/>
      <w:szCs w:val="18"/>
    </w:rPr>
  </w:style>
  <w:style w:type="paragraph" w:styleId="a7">
    <w:name w:val="List Paragraph"/>
    <w:basedOn w:val="a"/>
    <w:uiPriority w:val="9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181</Words>
  <Characters>1036</Characters>
  <Application>Microsoft Office Word</Application>
  <DocSecurity>0</DocSecurity>
  <Lines>8</Lines>
  <Paragraphs>2</Paragraphs>
  <ScaleCrop>false</ScaleCrop>
  <Company>BUAA</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Chow</dc:creator>
  <cp:lastModifiedBy>Windows User</cp:lastModifiedBy>
  <cp:revision>4</cp:revision>
  <cp:lastPrinted>2019-05-08T01:19:00Z</cp:lastPrinted>
  <dcterms:created xsi:type="dcterms:W3CDTF">2020-11-11T14:35:00Z</dcterms:created>
  <dcterms:modified xsi:type="dcterms:W3CDTF">2020-11-15T11:17:00Z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